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E32" w:rsidRDefault="00D848F2">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rsidR="00876E32" w:rsidRDefault="00D848F2">
      <w:pPr>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30j0zll"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876E32" w:rsidRDefault="00D848F2">
      <w:pPr>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876E32" w:rsidRDefault="00D848F2">
      <w:pPr>
        <w:keepNext/>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Crown Body;</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w:t>
      </w:r>
      <w:r>
        <w:rPr>
          <w:rFonts w:ascii="Arial" w:eastAsia="Arial" w:hAnsi="Arial" w:cs="Arial"/>
          <w:color w:val="000000"/>
          <w:sz w:val="24"/>
          <w:szCs w:val="24"/>
        </w:rPr>
        <w:t>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w:t>
      </w:r>
      <w:r>
        <w:rPr>
          <w:rFonts w:ascii="Arial" w:eastAsia="Arial" w:hAnsi="Arial" w:cs="Arial"/>
          <w:color w:val="000000"/>
          <w:sz w:val="24"/>
          <w:szCs w:val="24"/>
        </w:rPr>
        <w:t>esenting or reproducing words in a visible form, and expressions referring to writing shall be construed accordingly;</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w:t>
      </w:r>
      <w:r>
        <w:rPr>
          <w:rFonts w:ascii="Arial" w:eastAsia="Arial" w:hAnsi="Arial" w:cs="Arial"/>
          <w:color w:val="000000"/>
          <w:sz w:val="24"/>
          <w:szCs w:val="24"/>
        </w:rPr>
        <w:t>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w:t>
      </w:r>
      <w:r>
        <w:rPr>
          <w:rFonts w:ascii="Arial" w:eastAsia="Arial" w:hAnsi="Arial" w:cs="Arial"/>
          <w:color w:val="000000"/>
          <w:sz w:val="24"/>
          <w:szCs w:val="24"/>
        </w:rPr>
        <w:t xml:space="preserve">, annexes and tables are, unless otherwise provided, references to the parts, paragraphs, annexes and tables of the Schedule in which these references appear;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w:t>
      </w:r>
      <w:r>
        <w:rPr>
          <w:rFonts w:ascii="Arial" w:eastAsia="Arial" w:hAnsi="Arial" w:cs="Arial"/>
          <w:color w:val="000000"/>
          <w:sz w:val="24"/>
          <w:szCs w:val="24"/>
        </w:rPr>
        <w:t xml:space="preserve">propriate Schedules unless otherwise provided; </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rsidR="00876E32" w:rsidRDefault="00D848F2">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Crown Body it shall be treated as contracting with the Crown as a whole.</w:t>
      </w:r>
    </w:p>
    <w:p w:rsidR="00876E32" w:rsidRDefault="00D848F2">
      <w:pPr>
        <w:keepNext/>
        <w:numPr>
          <w:ilvl w:val="1"/>
          <w:numId w:val="6"/>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w:t>
      </w:r>
      <w:r>
        <w:rPr>
          <w:rFonts w:ascii="Arial" w:eastAsia="Arial" w:hAnsi="Arial" w:cs="Arial"/>
          <w:color w:val="000000"/>
          <w:sz w:val="24"/>
          <w:szCs w:val="24"/>
        </w:rPr>
        <w:t>he context otherwise requires, the following words shall have the following meanings:</w:t>
      </w:r>
    </w:p>
    <w:p w:rsidR="00876E32" w:rsidRDefault="00876E32">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w:t>
            </w:r>
            <w:r>
              <w:rPr>
                <w:rFonts w:ascii="Arial" w:eastAsia="Arial" w:hAnsi="Arial" w:cs="Arial"/>
                <w:color w:val="000000"/>
                <w:sz w:val="24"/>
                <w:szCs w:val="24"/>
              </w:rPr>
              <w:t>calculated in accordance with the tariff of administration charges published by the CCS on: http://CCS.cabinetoffice.gov.uk/i-am-supplier/management-information/admin-fees;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“Application Support”</w:t>
            </w:r>
          </w:p>
        </w:tc>
        <w:tc>
          <w:tcPr>
            <w:tcW w:w="7566" w:type="dxa"/>
          </w:tcPr>
          <w:p w:rsidR="00876E32" w:rsidRDefault="00D848F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a wide variety of application services, processes and methodologies for maintaining, enhancing, managing and supporting custom or enterprise applications, packaged software applications, or network-delivered applications.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w:t>
            </w:r>
            <w:r>
              <w:rPr>
                <w:rFonts w:ascii="Arial" w:eastAsia="Arial" w:hAnsi="Arial" w:cs="Arial"/>
                <w:color w:val="000000"/>
                <w:sz w:val="24"/>
                <w:szCs w:val="24"/>
              </w:rPr>
              <w:t>es 27 to 33 and/or Joint Schedule 5 (Corporate Social Responsibility), impropriety or accounting mistakes or any breach or threatened breach of security and in these circumstances the Relevant Authority shall have no obligation to inform the Supplier of th</w:t>
            </w:r>
            <w:r>
              <w:rPr>
                <w:rFonts w:ascii="Arial" w:eastAsia="Arial" w:hAnsi="Arial" w:cs="Arial"/>
                <w:color w:val="000000"/>
                <w:sz w:val="24"/>
                <w:szCs w:val="24"/>
              </w:rPr>
              <w:t>e purpose or objective of its investigations;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identify or investigate any circumstances which may impact upon the financial stability of the Supplier, any Guarantor, and/or any Subcontractors or their ability to provide the Deliverables;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w:t>
            </w:r>
            <w:r>
              <w:rPr>
                <w:rFonts w:ascii="Arial" w:eastAsia="Arial" w:hAnsi="Arial" w:cs="Arial"/>
                <w:color w:val="000000"/>
                <w:sz w:val="24"/>
                <w:szCs w:val="24"/>
              </w:rPr>
              <w:t>ation as is necessary to fulfil the Relevant Authority’s obligations to supply information for parliamentary, ministerial, judicial or administrative purposes including the supply of information to the Comptroller and Auditor General;</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w:t>
            </w:r>
            <w:r>
              <w:rPr>
                <w:rFonts w:ascii="Arial" w:eastAsia="Arial" w:hAnsi="Arial" w:cs="Arial"/>
                <w:color w:val="000000"/>
                <w:sz w:val="24"/>
                <w:szCs w:val="24"/>
              </w:rPr>
              <w:t>ccount and the internal contract management accounts kept by the Supplier in connection with each Contract;</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and/or certify the Relevant Authority's annual and interim </w:t>
            </w:r>
            <w:r>
              <w:rPr>
                <w:rFonts w:ascii="Arial" w:eastAsia="Arial" w:hAnsi="Arial" w:cs="Arial"/>
                <w:color w:val="000000"/>
                <w:sz w:val="24"/>
                <w:szCs w:val="24"/>
              </w:rPr>
              <w:t>reports and accounts;</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876E32" w:rsidRDefault="00D848F2">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w:t>
            </w:r>
            <w:r>
              <w:rPr>
                <w:rFonts w:ascii="Arial" w:eastAsia="Arial" w:hAnsi="Arial" w:cs="Arial"/>
                <w:color w:val="000000"/>
                <w:sz w:val="24"/>
                <w:szCs w:val="24"/>
              </w:rPr>
              <w:t>accuracy and completeness of any Management Information delivered or required by the Framework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rsidR="00876E32" w:rsidRDefault="00D848F2">
            <w:pPr>
              <w:numPr>
                <w:ilvl w:val="0"/>
                <w:numId w:val="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rsidR="00876E32" w:rsidRDefault="00D848F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876E32">
        <w:trPr>
          <w:trHeight w:val="601"/>
        </w:trPr>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rsidR="00876E32" w:rsidRDefault="00D848F2">
            <w:pPr>
              <w:rPr>
                <w:rFonts w:ascii="Arial" w:eastAsia="Arial" w:hAnsi="Arial" w:cs="Arial"/>
                <w:sz w:val="24"/>
                <w:szCs w:val="24"/>
              </w:rPr>
            </w:pPr>
            <w:r>
              <w:rPr>
                <w:rFonts w:ascii="Arial" w:eastAsia="Arial" w:hAnsi="Arial" w:cs="Arial"/>
                <w:sz w:val="24"/>
                <w:szCs w:val="24"/>
              </w:rPr>
              <w:t xml:space="preserve">   CCS and each Buyer;</w:t>
            </w:r>
          </w:p>
        </w:tc>
      </w:tr>
      <w:tr w:rsidR="00876E32">
        <w:tc>
          <w:tcPr>
            <w:tcW w:w="2181" w:type="dxa"/>
          </w:tcPr>
          <w:p w:rsidR="00876E32" w:rsidRDefault="00D848F2">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“Balanced Scorecard”</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 tool for Call-Off Contact management activity, through measurement of a Supplier’s performance against key performance indicator, which the Buyer and Supplier may agree at the Call-Off Contract Start Date;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w:t>
            </w:r>
            <w:r>
              <w:rPr>
                <w:rFonts w:ascii="Arial" w:eastAsia="Arial" w:hAnsi="Arial" w:cs="Arial"/>
                <w:color w:val="000000"/>
                <w:sz w:val="24"/>
                <w:szCs w:val="24"/>
              </w:rPr>
              <w:t xml:space="preserve"> Supplier in response to the Buyer’s Statement of Requirements following a Further Competition Procedure and set out at Call-Off Schedule 4 (Call-Off Tender);</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“Cap”</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maximum amount to be paid by the Buyer under a Time and Materials mechanism for the delivery of an agreed scope;</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“Capped Time and Materials”</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Time and Materials payable up to a specified Cap for delivery of the agreed scope of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 Autho</w:t>
            </w:r>
            <w:r>
              <w:rPr>
                <w:rFonts w:ascii="Arial" w:eastAsia="Arial" w:hAnsi="Arial" w:cs="Arial"/>
                <w:b/>
                <w:color w:val="000000"/>
                <w:sz w:val="24"/>
                <w:szCs w:val="24"/>
              </w:rPr>
              <w:t>rised Representative"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566" w:type="dxa"/>
          </w:tcPr>
          <w:p w:rsidR="00876E32" w:rsidRDefault="00D848F2">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Compliance Officer"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affairs, developments, trade secrets, Know-How, personnel and suppliers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rsidR="00876E32" w:rsidRDefault="00D848F2">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Control"</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w:t>
            </w:r>
            <w:r>
              <w:rPr>
                <w:rFonts w:ascii="Arial" w:eastAsia="Arial" w:hAnsi="Arial" w:cs="Arial"/>
                <w:color w:val="000000"/>
                <w:sz w:val="24"/>
                <w:szCs w:val="24"/>
              </w:rPr>
              <w:t>e reasonably and properly incurred by the Supplier in providing the Deliverables: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w:t>
            </w:r>
            <w:r>
              <w:rPr>
                <w:rFonts w:ascii="Arial" w:eastAsia="Arial" w:hAnsi="Arial" w:cs="Arial"/>
                <w:color w:val="000000"/>
                <w:sz w:val="24"/>
                <w:szCs w:val="24"/>
              </w:rPr>
              <w:t>ecessary to provide the Deliverables (but not including items included within limb (b) below); and</w:t>
            </w:r>
          </w:p>
          <w:p w:rsidR="00876E32" w:rsidRDefault="00D848F2">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w:t>
            </w:r>
            <w:r>
              <w:rPr>
                <w:rFonts w:ascii="Arial" w:eastAsia="Arial" w:hAnsi="Arial" w:cs="Arial"/>
                <w:color w:val="000000"/>
                <w:sz w:val="24"/>
                <w:szCs w:val="24"/>
              </w:rPr>
              <w:t>nerally accepted accounting principles within the UK, which shall include the cost to be charged in respect of Supplier Assets by the Supplier to the Buyer or (to the extent that risk and title in any Supplier Asset is not held by the Supplier) any cost ac</w:t>
            </w:r>
            <w:r>
              <w:rPr>
                <w:rFonts w:ascii="Arial" w:eastAsia="Arial" w:hAnsi="Arial" w:cs="Arial"/>
                <w:color w:val="000000"/>
                <w:sz w:val="24"/>
                <w:szCs w:val="24"/>
              </w:rPr>
              <w:t>tually incurred by the Supplier in respect of those Supplier Assets;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w:t>
            </w:r>
            <w:r>
              <w:rPr>
                <w:rFonts w:ascii="Arial" w:eastAsia="Arial" w:hAnsi="Arial" w:cs="Arial"/>
                <w:color w:val="000000"/>
                <w:sz w:val="24"/>
                <w:szCs w:val="24"/>
              </w:rPr>
              <w:t>nd</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876E32" w:rsidRDefault="00D848F2">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876E32" w:rsidRDefault="00D848F2">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876E32" w:rsidRDefault="00D848F2">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876E32" w:rsidRDefault="00D848F2">
            <w:pPr>
              <w:numPr>
                <w:ilvl w:val="1"/>
                <w:numId w:val="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w:t>
            </w:r>
            <w:r>
              <w:rPr>
                <w:rFonts w:ascii="Arial" w:eastAsia="Arial" w:hAnsi="Arial" w:cs="Arial"/>
                <w:color w:val="000000"/>
                <w:sz w:val="24"/>
                <w:szCs w:val="24"/>
              </w:rPr>
              <w:t>ar bodies, persons, commissions or agencies from time to time carrying out functions on its behalf;</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the GDPR, the LED and any applicable national implementing Laws as amended from time to time (ii) the DPA 2018 </w:t>
            </w:r>
            <w:r>
              <w:rPr>
                <w:rFonts w:ascii="Arial" w:eastAsia="Arial" w:hAnsi="Arial" w:cs="Arial"/>
                <w:color w:val="000000"/>
                <w:sz w:val="24"/>
                <w:szCs w:val="24"/>
              </w:rPr>
              <w:t>to the extent that it relates to Processing of personal data and privacy; (iii) all applicable Law about the Processing of personal data and privacy;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amount specified in the Framework Award Form.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color w:val="000000"/>
                <w:sz w:val="24"/>
                <w:szCs w:val="24"/>
              </w:rPr>
              <w:t>Data Protection Officer"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 for the period specified in the Order Form (for</w:t>
            </w:r>
            <w:r>
              <w:rPr>
                <w:rFonts w:ascii="Arial" w:eastAsia="Arial" w:hAnsi="Arial" w:cs="Arial"/>
                <w:color w:val="000000"/>
                <w:sz w:val="24"/>
                <w:szCs w:val="24"/>
              </w:rPr>
              <w:t xml:space="preserve">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876E32">
        <w:tc>
          <w:tcPr>
            <w:tcW w:w="2181"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arises out of or in connection with the Contract or in connection with the negotiation, existence, legal validity, enforceability or termination of the Contract, whether the alleged liability shall arise under English law o</w:t>
            </w:r>
            <w:r>
              <w:rPr>
                <w:rFonts w:ascii="Arial" w:eastAsia="Arial" w:hAnsi="Arial" w:cs="Arial"/>
                <w:color w:val="000000"/>
                <w:sz w:val="24"/>
                <w:szCs w:val="24"/>
              </w:rPr>
              <w:t xml:space="preserve">r under the law of some other country and regardless of whether a particular cause of action may successfully be brought in the English courts; </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Documentation"</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876E32" w:rsidRDefault="00D848F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rsidR="00876E32" w:rsidRDefault="00D848F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876E32">
        <w:tc>
          <w:tcPr>
            <w:tcW w:w="2181"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“Electronic Invoice”</w:t>
            </w:r>
          </w:p>
        </w:tc>
        <w:tc>
          <w:tcPr>
            <w:tcW w:w="7566"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sz w:val="24"/>
                <w:szCs w:val="24"/>
              </w:rPr>
              <w:t>ementing Decision (EU) 2017/1870;</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color w:val="000000"/>
                <w:sz w:val="24"/>
                <w:szCs w:val="24"/>
              </w:rPr>
              <w:t xml:space="preserve">End Date" </w:t>
            </w:r>
          </w:p>
        </w:tc>
        <w:tc>
          <w:tcPr>
            <w:tcW w:w="7566" w:type="dxa"/>
          </w:tcPr>
          <w:p w:rsidR="00876E32" w:rsidRDefault="00D848F2">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876E32" w:rsidRDefault="00D848F2">
            <w:pPr>
              <w:numPr>
                <w:ilvl w:val="1"/>
                <w:numId w:val="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rsidR="00876E32" w:rsidRDefault="00D848F2">
            <w:pPr>
              <w:numPr>
                <w:ilvl w:val="1"/>
                <w:numId w:val="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876E32">
        <w:tc>
          <w:tcPr>
            <w:tcW w:w="2181"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Environmental Policy"</w:t>
            </w:r>
          </w:p>
        </w:tc>
        <w:tc>
          <w:tcPr>
            <w:tcW w:w="7566"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w:t>
            </w:r>
            <w:r>
              <w:rPr>
                <w:rFonts w:ascii="Arial" w:eastAsia="Arial" w:hAnsi="Arial" w:cs="Arial"/>
                <w:color w:val="000000"/>
                <w:sz w:val="24"/>
                <w:szCs w:val="24"/>
              </w:rPr>
              <w:t>lth and the environment, including any written environmental policy of the Buyer;</w:t>
            </w:r>
          </w:p>
        </w:tc>
      </w:tr>
      <w:tr w:rsidR="00876E32">
        <w:tc>
          <w:tcPr>
            <w:tcW w:w="2181" w:type="dxa"/>
          </w:tcPr>
          <w:p w:rsidR="00876E32" w:rsidRDefault="00D848F2">
            <w:pPr>
              <w:pBdr>
                <w:top w:val="nil"/>
                <w:left w:val="nil"/>
                <w:bottom w:val="nil"/>
                <w:right w:val="nil"/>
                <w:between w:val="nil"/>
              </w:pBdr>
              <w:spacing w:after="120" w:line="480" w:lineRule="auto"/>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876E32" w:rsidRDefault="00876E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876E32" w:rsidRDefault="00876E32">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2"/>
        <w:gridCol w:w="7568"/>
      </w:tblGrid>
      <w:tr w:rsidR="00876E32">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w:t>
            </w:r>
            <w:r>
              <w:rPr>
                <w:rFonts w:ascii="Arial" w:eastAsia="Arial" w:hAnsi="Arial" w:cs="Arial"/>
                <w:color w:val="000000"/>
                <w:sz w:val="24"/>
                <w:szCs w:val="24"/>
              </w:rPr>
              <w:t>t Year; or</w:t>
            </w:r>
          </w:p>
          <w:p w:rsidR="00876E32" w:rsidRDefault="00D848F2">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rsidR="00876E32" w:rsidRDefault="00876E32">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876E32" w:rsidRDefault="00D848F2">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w:t>
            </w:r>
          </w:p>
        </w:tc>
      </w:tr>
    </w:tbl>
    <w:p w:rsidR="00876E32" w:rsidRDefault="00876E32">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2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7560"/>
      </w:tblGrid>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w:t>
            </w:r>
            <w:r>
              <w:rPr>
                <w:rFonts w:ascii="Arial" w:eastAsia="Arial" w:hAnsi="Arial" w:cs="Arial"/>
                <w:color w:val="000000"/>
                <w:sz w:val="24"/>
                <w:szCs w:val="24"/>
              </w:rPr>
              <w:t>ether prior to the Start Date or otherwise);</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“Exit Day”</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shall have the meaning in the European Union (Withdrawal) Act 2018;</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876E32" w:rsidRDefault="00D848F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“Fixed Price”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pricing mechanism whereby the Buyer agrees to pay the Supplier based on a capped price which shall cover all work performed and De</w:t>
            </w:r>
            <w:r>
              <w:rPr>
                <w:rFonts w:ascii="Arial" w:eastAsia="Arial" w:hAnsi="Arial" w:cs="Arial"/>
                <w:sz w:val="24"/>
                <w:szCs w:val="24"/>
              </w:rPr>
              <w:t>liverables required to be provided by the Supplier Staff and all materials used in the project, no matter how much work us required to complete each identified Deliverable within the agreed scope;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or any disaster;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industrial dispute affecting a third party for which </w:t>
            </w:r>
            <w:r>
              <w:rPr>
                <w:rFonts w:ascii="Arial" w:eastAsia="Arial" w:hAnsi="Arial" w:cs="Arial"/>
                <w:color w:val="000000"/>
                <w:sz w:val="24"/>
                <w:szCs w:val="24"/>
              </w:rPr>
              <w:t>a substitute third party is not reasonably available but excluding:</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w:t>
            </w:r>
            <w:r>
              <w:rPr>
                <w:rFonts w:ascii="Arial" w:eastAsia="Arial" w:hAnsi="Arial" w:cs="Arial"/>
                <w:color w:val="000000"/>
                <w:sz w:val="24"/>
                <w:szCs w:val="24"/>
              </w:rPr>
              <w:t xml:space="preserve"> Buyers by the Supplier pursuant to the OJEU Notice;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Initial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w:t>
            </w:r>
            <w:r>
              <w:rPr>
                <w:rFonts w:ascii="Arial" w:eastAsia="Arial" w:hAnsi="Arial" w:cs="Arial"/>
                <w:color w:val="000000"/>
                <w:sz w:val="24"/>
                <w:szCs w:val="24"/>
              </w:rPr>
              <w:t>d Criteria);</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w:t>
            </w:r>
            <w:r>
              <w:rPr>
                <w:rFonts w:ascii="Arial" w:eastAsia="Arial" w:hAnsi="Arial" w:cs="Arial"/>
                <w:color w:val="000000"/>
                <w:sz w:val="24"/>
                <w:szCs w:val="24"/>
              </w:rPr>
              <w:t>k Schedule 1 (Specification) and in relation to a Call-Off Contract as specified in the Order Form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w:t>
            </w:r>
            <w:r>
              <w:rPr>
                <w:rFonts w:ascii="Arial" w:eastAsia="Arial" w:hAnsi="Arial" w:cs="Arial"/>
                <w:color w:val="000000"/>
                <w:sz w:val="24"/>
                <w:szCs w:val="24"/>
              </w:rPr>
              <w:t>rudence and foresight which would reasonably and ordinarily be expected from a skilled and experienced person or body engaged within the relevant industry or business sector;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876E32" w:rsidRDefault="00D848F2">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w:t>
            </w:r>
            <w:r>
              <w:rPr>
                <w:rFonts w:ascii="Arial" w:eastAsia="Arial" w:hAnsi="Arial" w:cs="Arial"/>
                <w:color w:val="000000"/>
                <w:sz w:val="24"/>
                <w:szCs w:val="24"/>
              </w:rPr>
              <w:lastRenderedPageBreak/>
              <w:t>electronic, magnetic, optical or tangible media, including any of the Authority’s Confidential Information, and which:</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“Incremental Fixed Price”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pricing mechanism where the overall Statement of Work is based on Capped Time and Materials, but where the prices for individual Deliverables Increments are fixed prior to the work being undertaken. The Charges for the first Deliverable Increment or De</w:t>
            </w:r>
            <w:r>
              <w:rPr>
                <w:rFonts w:ascii="Arial" w:eastAsia="Arial" w:hAnsi="Arial" w:cs="Arial"/>
                <w:sz w:val="24"/>
                <w:szCs w:val="24"/>
              </w:rPr>
              <w:t xml:space="preserve">liverables Increments for the Statement of Work will be fixed, but the Charges for subsequent Deliverables Increments will be </w:t>
            </w:r>
            <w:r>
              <w:rPr>
                <w:rFonts w:ascii="Arial" w:eastAsia="Arial" w:hAnsi="Arial" w:cs="Arial"/>
                <w:sz w:val="24"/>
                <w:szCs w:val="24"/>
              </w:rPr>
              <w:lastRenderedPageBreak/>
              <w:t>reviewed and refined prior to the execution of each subsequent Deliverables Increment within the same Statement of Work;</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color w:val="000000"/>
                <w:sz w:val="24"/>
                <w:szCs w:val="24"/>
              </w:rPr>
              <w:t>Indemnifier"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w:t>
            </w:r>
            <w:r>
              <w:rPr>
                <w:rFonts w:ascii="Arial" w:eastAsia="Arial" w:hAnsi="Arial" w:cs="Arial"/>
                <w:color w:val="000000"/>
                <w:sz w:val="24"/>
                <w:szCs w:val="24"/>
              </w:rPr>
              <w:t>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UK’s in</w:t>
            </w:r>
            <w:r>
              <w:rPr>
                <w:rFonts w:ascii="Arial" w:eastAsia="Arial" w:hAnsi="Arial" w:cs="Arial"/>
                <w:color w:val="000000"/>
                <w:sz w:val="24"/>
                <w:szCs w:val="24"/>
              </w:rPr>
              <w:t xml:space="preserve">dependent authority which deals with ensuring information relating to rights in the public interest and data privacy for individuals is met, whilst promoting openness by public bodies;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w:t>
            </w:r>
            <w:r>
              <w:rPr>
                <w:rFonts w:ascii="Arial" w:eastAsia="Arial" w:hAnsi="Arial" w:cs="Arial"/>
                <w:color w:val="000000"/>
                <w:sz w:val="24"/>
                <w:szCs w:val="24"/>
              </w:rPr>
              <w:t>idering a resolution that it be wound up or a resolution for its winding-up is passed (other than as part of, and exclusively for the purpose of, a bona fide reconstruction or amalgamation);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petition is presented for its winding up (which is not dismi</w:t>
            </w:r>
            <w:r>
              <w:rPr>
                <w:rFonts w:ascii="Arial" w:eastAsia="Arial" w:hAnsi="Arial" w:cs="Arial"/>
                <w:color w:val="000000"/>
                <w:sz w:val="24"/>
                <w:szCs w:val="24"/>
              </w:rPr>
              <w:t xml:space="preserve">ssed within fourteen (14) Working Days of its service) or an application is made for the appointment of a provisional liquidator or a creditors' meeting is convened pursuant to section 98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w:t>
            </w:r>
            <w:r>
              <w:rPr>
                <w:rFonts w:ascii="Arial" w:eastAsia="Arial" w:hAnsi="Arial" w:cs="Arial"/>
                <w:color w:val="000000"/>
                <w:sz w:val="24"/>
                <w:szCs w:val="24"/>
              </w:rPr>
              <w:t xml:space="preserve">or similar officer is appointed over the whole or any part of its business or assets;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application is made either for the appointment of an administrator or for an administration order, an administrator is appointed, or notice of intention to appoint</w:t>
            </w:r>
            <w:r>
              <w:rPr>
                <w:rFonts w:ascii="Arial" w:eastAsia="Arial" w:hAnsi="Arial" w:cs="Arial"/>
                <w:color w:val="000000"/>
                <w:sz w:val="24"/>
                <w:szCs w:val="24"/>
              </w:rPr>
              <w:t xml:space="preserve"> an administrator is given;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being a "small company" within the meaning of section 382(3) of the Companies Act 2006, a moratorium comes into force pursuant to S</w:t>
            </w:r>
            <w:r>
              <w:rPr>
                <w:rFonts w:ascii="Arial" w:eastAsia="Arial" w:hAnsi="Arial" w:cs="Arial"/>
                <w:color w:val="000000"/>
                <w:sz w:val="24"/>
                <w:szCs w:val="24"/>
              </w:rPr>
              <w:t xml:space="preserve">chedule A1 of the Insolvency Act 1986;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person is an individual or partnership, any event analogous to those listed in limbs (a) to (g) (inclusive) occurs in relation to that individual or partnership;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w:t>
            </w:r>
            <w:r>
              <w:rPr>
                <w:rFonts w:ascii="Arial" w:eastAsia="Arial" w:hAnsi="Arial" w:cs="Arial"/>
                <w:color w:val="000000"/>
                <w:sz w:val="24"/>
                <w:szCs w:val="24"/>
              </w:rPr>
              <w:t>n limbs (a) to (h) (inclusive) occurs under the law of any other jurisdiction;</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t>
              </w:r>
              <w:r>
                <w:rPr>
                  <w:rFonts w:ascii="Arial" w:eastAsia="Arial" w:hAnsi="Arial" w:cs="Arial"/>
                  <w:color w:val="0000FF"/>
                  <w:sz w:val="24"/>
                  <w:szCs w:val="24"/>
                  <w:u w:val="single"/>
                </w:rPr>
                <w:t>/www.gov.uk/guidance/ir35-find-out-if-it-applies</w:t>
              </w:r>
            </w:hyperlink>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“Joint Control”</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where two or more Controllers agree to jointly determine the purposes and means of Processing Personal Data;</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876E32">
        <w:trPr>
          <w:trHeight w:val="357"/>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876E32">
        <w:trPr>
          <w:trHeight w:val="426"/>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which is relied upon to deliver any work package within the Deliverables in their entirety;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876E32" w:rsidRDefault="00D848F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“KPI T</w:t>
            </w:r>
            <w:r>
              <w:rPr>
                <w:rFonts w:ascii="Arial" w:eastAsia="Arial" w:hAnsi="Arial" w:cs="Arial"/>
                <w:b/>
                <w:sz w:val="24"/>
                <w:szCs w:val="24"/>
              </w:rPr>
              <w:t>arget”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 key performance indicator target included in the Balanced Scorecard;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w:t>
            </w:r>
            <w:r>
              <w:rPr>
                <w:rFonts w:ascii="Arial" w:eastAsia="Arial" w:hAnsi="Arial" w:cs="Arial"/>
                <w:color w:val="000000"/>
                <w:sz w:val="24"/>
                <w:szCs w:val="24"/>
              </w:rPr>
              <w:t>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Day"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Hours"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w:t>
            </w:r>
            <w:r>
              <w:rPr>
                <w:rFonts w:ascii="Arial" w:eastAsia="Arial" w:hAnsi="Arial" w:cs="Arial"/>
                <w:color w:val="000000"/>
                <w:sz w:val="24"/>
                <w:szCs w:val="24"/>
              </w:rPr>
              <w:t>other than to and from the Supplier's offices, or to and from the Sites) but excluding lunch breaks;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w:t>
            </w:r>
            <w:r>
              <w:rPr>
                <w:rFonts w:ascii="Arial" w:eastAsia="Arial" w:hAnsi="Arial" w:cs="Arial"/>
                <w:color w:val="000000"/>
                <w:sz w:val="24"/>
                <w:szCs w:val="24"/>
              </w:rPr>
              <w:t>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876E32" w:rsidRDefault="00D848F2">
            <w:pPr>
              <w:numPr>
                <w:ilvl w:val="1"/>
                <w:numId w:val="3"/>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rsidR="00876E32" w:rsidRDefault="00D848F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w:t>
            </w:r>
            <w:r>
              <w:rPr>
                <w:rFonts w:ascii="Arial" w:eastAsia="Arial" w:hAnsi="Arial" w:cs="Arial"/>
                <w:color w:val="000000"/>
                <w:sz w:val="24"/>
                <w:szCs w:val="24"/>
              </w:rPr>
              <w:t>ment Charges and Information) setting out the information the Supplier is required to supply to the Authority;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w:t>
            </w:r>
            <w:r>
              <w:rPr>
                <w:rFonts w:ascii="Arial" w:eastAsia="Arial" w:hAnsi="Arial" w:cs="Arial"/>
                <w:color w:val="000000"/>
                <w:sz w:val="24"/>
                <w:szCs w:val="24"/>
              </w:rPr>
              <w:lastRenderedPageBreak/>
              <w:t>that have an effect equivalent or similar to the General Anti-Abuse Ru</w:t>
            </w:r>
            <w:r>
              <w:rPr>
                <w:rFonts w:ascii="Arial" w:eastAsia="Arial" w:hAnsi="Arial" w:cs="Arial"/>
                <w:color w:val="000000"/>
                <w:sz w:val="24"/>
                <w:szCs w:val="24"/>
              </w:rPr>
              <w:t>le or the Halifax Abuse Principle;</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Start Date or to </w:t>
            </w:r>
            <w:r>
              <w:rPr>
                <w:rFonts w:ascii="Arial" w:eastAsia="Arial" w:hAnsi="Arial" w:cs="Arial"/>
                <w:color w:val="000000"/>
                <w:sz w:val="24"/>
                <w:szCs w:val="24"/>
              </w:rPr>
              <w:t>a civil penalty for fraud or evasion;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w:t>
            </w:r>
            <w:r>
              <w:rPr>
                <w:rFonts w:ascii="Arial" w:eastAsia="Arial" w:hAnsi="Arial" w:cs="Arial"/>
                <w:color w:val="000000"/>
                <w:sz w:val="24"/>
                <w:szCs w:val="24"/>
              </w:rPr>
              <w:t>xpenditure relating to the provision of the Deliverables including an analysis showing:</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w:t>
            </w:r>
            <w:r>
              <w:rPr>
                <w:rFonts w:ascii="Arial" w:eastAsia="Arial" w:hAnsi="Arial" w:cs="Arial"/>
                <w:color w:val="000000"/>
                <w:sz w:val="24"/>
                <w:szCs w:val="24"/>
              </w:rPr>
              <w:t>ed rate less the Supplier Profit Margin; and</w:t>
            </w:r>
          </w:p>
          <w:p w:rsidR="00876E32" w:rsidRDefault="00D848F2">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Prescribed Person"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w:t>
              </w:r>
              <w:r>
                <w:rPr>
                  <w:rFonts w:ascii="Arial" w:eastAsia="Arial" w:hAnsi="Arial" w:cs="Arial"/>
                  <w:color w:val="0000FF"/>
                  <w:sz w:val="24"/>
                  <w:szCs w:val="24"/>
                  <w:u w:val="single"/>
                </w:rPr>
                <w:t>ng-list-of-prescribed-people-and-bodies</w:t>
              </w:r>
            </w:hyperlink>
            <w:r>
              <w:rPr>
                <w:rFonts w:ascii="Arial" w:eastAsia="Arial" w:hAnsi="Arial" w:cs="Arial"/>
                <w:color w:val="000000"/>
                <w:sz w:val="24"/>
                <w:szCs w:val="24"/>
              </w:rPr>
              <w: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"Progress Meeting Frequency"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876E32" w:rsidRDefault="00D848F2">
            <w:pPr>
              <w:numPr>
                <w:ilvl w:val="2"/>
                <w:numId w:val="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if applicable, in the case of the F</w:t>
            </w:r>
            <w:r>
              <w:rPr>
                <w:rFonts w:ascii="Arial" w:eastAsia="Arial" w:hAnsi="Arial" w:cs="Arial"/>
                <w:color w:val="000000"/>
                <w:sz w:val="24"/>
                <w:szCs w:val="24"/>
              </w:rPr>
              <w:t>ramework Contract or Call-Off Schedule 9 (Security), if applicable, in the case of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w:t>
            </w:r>
            <w:r>
              <w:rPr>
                <w:rFonts w:ascii="Arial" w:eastAsia="Arial" w:hAnsi="Arial" w:cs="Arial"/>
                <w:color w:val="000000"/>
                <w:sz w:val="24"/>
                <w:szCs w:val="24"/>
              </w:rPr>
              <w:t>ts in the right IPR rights) that might endanger health or hinder performance;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876E32" w:rsidRDefault="00D848F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876E32" w:rsidRDefault="00D848F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“Restricted Staff”</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person employed or engaged by either Party, in the capacity of director or in any research, technical, I</w:t>
            </w:r>
            <w:r>
              <w:rPr>
                <w:rFonts w:ascii="Arial" w:eastAsia="Arial" w:hAnsi="Arial" w:cs="Arial"/>
                <w:sz w:val="24"/>
                <w:szCs w:val="24"/>
              </w:rPr>
              <w:t>T, security, engineering, procurement, financial, legal or managerial role who has been engaged in the provision of the Deliverables or management of the Contract either as principal, agent, employee, independent contractor or in any other form of employme</w:t>
            </w:r>
            <w:r>
              <w:rPr>
                <w:rFonts w:ascii="Arial" w:eastAsia="Arial" w:hAnsi="Arial" w:cs="Arial"/>
                <w:sz w:val="24"/>
                <w:szCs w:val="24"/>
              </w:rPr>
              <w:t>nt or engagement over the previous 12 months, directly worked with or had any material dealings, but shall not include any person employed or engaged in an administrative, clerical, manual or secretarial capacity;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“Schedules"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color w:val="000000"/>
                <w:sz w:val="24"/>
                <w:szCs w:val="24"/>
              </w:rPr>
              <w:t>Security Management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876E32">
        <w:trPr>
          <w:trHeight w:val="945"/>
        </w:trPr>
        <w:tc>
          <w:tcPr>
            <w:tcW w:w="2160" w:type="dxa"/>
          </w:tcPr>
          <w:p w:rsidR="00876E32" w:rsidRDefault="00D848F2">
            <w:pPr>
              <w:spacing w:after="120"/>
              <w:ind w:left="-108"/>
              <w:rPr>
                <w:rFonts w:ascii="Arial" w:eastAsia="Arial" w:hAnsi="Arial" w:cs="Arial"/>
                <w:b/>
                <w:color w:val="000000"/>
                <w:sz w:val="24"/>
                <w:szCs w:val="24"/>
              </w:rPr>
            </w:pPr>
            <w:r>
              <w:rPr>
                <w:rFonts w:ascii="Arial" w:eastAsia="Arial" w:hAnsi="Arial" w:cs="Arial"/>
                <w:b/>
                <w:sz w:val="24"/>
                <w:szCs w:val="24"/>
              </w:rPr>
              <w:t>“Software Support and Maintenance”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color w:val="202124"/>
                <w:sz w:val="24"/>
                <w:szCs w:val="24"/>
                <w:highlight w:val="white"/>
              </w:rPr>
              <w:t>Software Support and Maintenance includes any software upgrades, annual updates, patches and fixes needed to improve functionality and keep the software in working order;</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in the Framework Award Form or Order </w:t>
            </w:r>
            <w:r>
              <w:rPr>
                <w:rFonts w:ascii="Arial" w:eastAsia="Arial" w:hAnsi="Arial" w:cs="Arial"/>
                <w:color w:val="000000"/>
                <w:sz w:val="24"/>
                <w:szCs w:val="24"/>
              </w:rPr>
              <w:t>Form which shall form part of the respective Contract;</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76E32">
        <w:trPr>
          <w:trHeight w:val="945"/>
        </w:trPr>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“Statement of Works” “(SOW)”</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document which, upon its execution by the Buyer and Supplier, shall become incorporated into their Call-Off Contract and outlines the agreed body of works to be undertaken as part of the Call-Off Contract Deliverables. There may be any number of Statem</w:t>
            </w:r>
            <w:r>
              <w:rPr>
                <w:rFonts w:ascii="Arial" w:eastAsia="Arial" w:hAnsi="Arial" w:cs="Arial"/>
                <w:sz w:val="24"/>
                <w:szCs w:val="24"/>
              </w:rPr>
              <w:t>ents of Work incorporated into a Call-Off Contract and each Statement of Work may include (but is not limited to) the Statement of Requirements, identified output(s), completion date(s) and charging method(s);</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“SOW End Date”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date up to and including t</w:t>
            </w:r>
            <w:r>
              <w:rPr>
                <w:rFonts w:ascii="Arial" w:eastAsia="Arial" w:hAnsi="Arial" w:cs="Arial"/>
                <w:sz w:val="24"/>
                <w:szCs w:val="24"/>
              </w:rPr>
              <w:t>his date when the supply of the Deliverables under the Statement of Work shall cease;</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“SOW Start Date”</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the date of the start of the Statement of Works as stated in the SOW;  </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t>“Standing Instructions”</w:t>
            </w:r>
          </w:p>
        </w:tc>
        <w:tc>
          <w:tcPr>
            <w:tcW w:w="7560" w:type="dxa"/>
          </w:tcPr>
          <w:p w:rsidR="00876E32" w:rsidRDefault="00D848F2">
            <w:pPr>
              <w:spacing w:before="120" w:after="120" w:line="276" w:lineRule="auto"/>
              <w:jc w:val="both"/>
              <w:rPr>
                <w:rFonts w:ascii="Arial" w:eastAsia="Arial" w:hAnsi="Arial" w:cs="Arial"/>
                <w:sz w:val="24"/>
                <w:szCs w:val="24"/>
              </w:rPr>
            </w:pPr>
            <w:r>
              <w:rPr>
                <w:rFonts w:ascii="Arial" w:eastAsia="Arial" w:hAnsi="Arial" w:cs="Arial"/>
                <w:sz w:val="24"/>
                <w:szCs w:val="24"/>
              </w:rPr>
              <w:t>Standing Instructions are a mechanism that supports the implementation of new policy that is mandated across government as a whole or in certain sectors. It is not possible at the Framework Agreement procurement stage to provide for every instance but exam</w:t>
            </w:r>
            <w:r>
              <w:rPr>
                <w:rFonts w:ascii="Arial" w:eastAsia="Arial" w:hAnsi="Arial" w:cs="Arial"/>
                <w:sz w:val="24"/>
                <w:szCs w:val="24"/>
              </w:rPr>
              <w:t xml:space="preserve">ples such as the mandate of technical standards i.e. the use of Greening government ICT strategy; or implementation of standardisation across government.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"Storage Media"</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the part of any device that is capable of storing and retrieving data; </w:t>
            </w:r>
          </w:p>
        </w:tc>
      </w:tr>
      <w:tr w:rsidR="00876E32">
        <w:tc>
          <w:tcPr>
            <w:tcW w:w="2160" w:type="dxa"/>
          </w:tcPr>
          <w:p w:rsidR="00876E32" w:rsidRDefault="00D848F2">
            <w:pPr>
              <w:keepNext/>
              <w:spacing w:after="120"/>
              <w:ind w:left="-108"/>
              <w:rPr>
                <w:rFonts w:ascii="Arial" w:eastAsia="Arial" w:hAnsi="Arial" w:cs="Arial"/>
                <w:b/>
                <w:sz w:val="24"/>
                <w:szCs w:val="24"/>
              </w:rPr>
            </w:pPr>
            <w:r>
              <w:rPr>
                <w:rFonts w:ascii="Arial" w:eastAsia="Arial" w:hAnsi="Arial" w:cs="Arial"/>
                <w:b/>
                <w:sz w:val="24"/>
                <w:szCs w:val="24"/>
              </w:rPr>
              <w:lastRenderedPageBreak/>
              <w:t>"</w:t>
            </w:r>
            <w:r>
              <w:rPr>
                <w:rFonts w:ascii="Arial" w:eastAsia="Arial" w:hAnsi="Arial" w:cs="Arial"/>
                <w:b/>
                <w:sz w:val="24"/>
                <w:szCs w:val="24"/>
              </w:rPr>
              <w:t>Sub-Contract"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contract or agreement (or proposed contract or agreement), other than a Call-Off Contract or the Framework Contract, pursuant to which a third party:</w:t>
            </w:r>
          </w:p>
          <w:p w:rsidR="00876E32" w:rsidRDefault="00D848F2">
            <w:pPr>
              <w:numPr>
                <w:ilvl w:val="1"/>
                <w:numId w:val="5"/>
              </w:numPr>
              <w:tabs>
                <w:tab w:val="left" w:pos="-576"/>
                <w:tab w:val="left" w:pos="144"/>
              </w:tabs>
              <w:spacing w:after="120"/>
              <w:ind w:left="576" w:hanging="432"/>
              <w:jc w:val="both"/>
              <w:rPr>
                <w:sz w:val="24"/>
                <w:szCs w:val="24"/>
              </w:rPr>
            </w:pPr>
            <w:r>
              <w:rPr>
                <w:rFonts w:ascii="Arial" w:eastAsia="Arial" w:hAnsi="Arial" w:cs="Arial"/>
                <w:sz w:val="24"/>
                <w:szCs w:val="24"/>
              </w:rPr>
              <w:t>provides the Deliverables (or any part of them);</w:t>
            </w:r>
          </w:p>
          <w:p w:rsidR="00876E32" w:rsidRDefault="00D848F2">
            <w:pPr>
              <w:numPr>
                <w:ilvl w:val="1"/>
                <w:numId w:val="5"/>
              </w:numPr>
              <w:tabs>
                <w:tab w:val="left" w:pos="-576"/>
                <w:tab w:val="left" w:pos="144"/>
              </w:tabs>
              <w:spacing w:after="120"/>
              <w:ind w:hanging="288"/>
              <w:jc w:val="both"/>
              <w:rPr>
                <w:sz w:val="24"/>
                <w:szCs w:val="24"/>
              </w:rPr>
            </w:pPr>
            <w:r>
              <w:rPr>
                <w:rFonts w:ascii="Arial" w:eastAsia="Arial" w:hAnsi="Arial" w:cs="Arial"/>
                <w:sz w:val="24"/>
                <w:szCs w:val="24"/>
              </w:rPr>
              <w:t>provides facilities or services necessa</w:t>
            </w:r>
            <w:r>
              <w:rPr>
                <w:rFonts w:ascii="Arial" w:eastAsia="Arial" w:hAnsi="Arial" w:cs="Arial"/>
                <w:sz w:val="24"/>
                <w:szCs w:val="24"/>
              </w:rPr>
              <w:t>ry for the provision of the Deliverables (or any part of them); and/or</w:t>
            </w:r>
          </w:p>
          <w:p w:rsidR="00876E32" w:rsidRDefault="00D848F2">
            <w:pPr>
              <w:numPr>
                <w:ilvl w:val="1"/>
                <w:numId w:val="5"/>
              </w:numPr>
              <w:tabs>
                <w:tab w:val="left" w:pos="-576"/>
                <w:tab w:val="left" w:pos="144"/>
              </w:tabs>
              <w:spacing w:after="120"/>
              <w:ind w:hanging="288"/>
              <w:jc w:val="both"/>
              <w:rPr>
                <w:sz w:val="24"/>
                <w:szCs w:val="24"/>
              </w:rPr>
            </w:pPr>
            <w:r>
              <w:rPr>
                <w:rFonts w:ascii="Arial" w:eastAsia="Arial" w:hAnsi="Arial" w:cs="Arial"/>
                <w:sz w:val="24"/>
                <w:szCs w:val="24"/>
              </w:rPr>
              <w:t>is responsible for the management, direction or control of the provision of the Deliverables (or any part of them);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w:t>
            </w:r>
            <w:r>
              <w:rPr>
                <w:rFonts w:ascii="Arial" w:eastAsia="Arial" w:hAnsi="Arial" w:cs="Arial"/>
                <w:b/>
                <w:color w:val="000000"/>
                <w:sz w:val="24"/>
                <w:szCs w:val="24"/>
              </w:rPr>
              <w:t>resentative"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"Supplier Compliance Officer"</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person(s) appointed by the Supplier who is responsible for ensuring that the Supplier complies with its legal obligations;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w:t>
            </w:r>
            <w:r>
              <w:rPr>
                <w:rFonts w:ascii="Arial" w:eastAsia="Arial" w:hAnsi="Arial" w:cs="Arial"/>
                <w:color w:val="000000"/>
                <w:sz w:val="24"/>
                <w:szCs w:val="24"/>
              </w:rPr>
              <w:t>ssession in connection with a Contract;</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876E32">
        <w:tc>
          <w:tcPr>
            <w:tcW w:w="2160" w:type="dxa"/>
          </w:tcPr>
          <w:p w:rsidR="00876E32" w:rsidRDefault="00D848F2">
            <w:pPr>
              <w:pBdr>
                <w:top w:val="nil"/>
                <w:left w:val="nil"/>
                <w:bottom w:val="nil"/>
                <w:right w:val="nil"/>
                <w:between w:val="nil"/>
              </w:pBdr>
              <w:tabs>
                <w:tab w:val="left" w:pos="1134"/>
              </w:tabs>
              <w:spacing w:before="120" w:after="120"/>
              <w:ind w:left="567"/>
              <w:rPr>
                <w:rFonts w:ascii="Arial" w:eastAsia="Arial" w:hAnsi="Arial" w:cs="Arial"/>
                <w:b/>
                <w:color w:val="000000"/>
                <w:sz w:val="24"/>
                <w:szCs w:val="24"/>
              </w:rPr>
            </w:pPr>
            <w:r>
              <w:rPr>
                <w:rFonts w:ascii="Arial" w:eastAsia="Arial" w:hAnsi="Arial" w:cs="Arial"/>
                <w:b/>
                <w:color w:val="000000"/>
                <w:sz w:val="24"/>
                <w:szCs w:val="24"/>
              </w:rPr>
              <w:t>"Supplier'sContract Manager</w:t>
            </w:r>
            <w:r>
              <w:rPr>
                <w:rFonts w:ascii="Arial" w:eastAsia="Arial" w:hAnsi="Arial" w:cs="Arial"/>
                <w:b/>
                <w:sz w:val="24"/>
                <w:szCs w:val="24"/>
              </w:rPr>
              <w:t>”</w:t>
            </w:r>
            <w:r>
              <w:rPr>
                <w:rFonts w:ascii="Arial" w:eastAsia="Arial" w:hAnsi="Arial" w:cs="Arial"/>
                <w:b/>
                <w:color w:val="000000"/>
                <w:sz w:val="24"/>
                <w:szCs w:val="24"/>
              </w:rPr>
              <w:t xml:space="preserve"> </w:t>
            </w:r>
          </w:p>
        </w:tc>
        <w:tc>
          <w:tcPr>
            <w:tcW w:w="7560" w:type="dxa"/>
          </w:tcPr>
          <w:p w:rsidR="00876E32" w:rsidRDefault="00D848F2">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lastRenderedPageBreak/>
              <w:t>"Supplier Marketing Contact"</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shall be the person identified in the Framework Award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876E32" w:rsidRDefault="00D848F2">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Supply Chain Information Report Template"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w:t>
            </w:r>
            <w:r>
              <w:rPr>
                <w:rFonts w:ascii="Arial" w:eastAsia="Arial" w:hAnsi="Arial" w:cs="Arial"/>
                <w:color w:val="000000"/>
                <w:sz w:val="24"/>
                <w:szCs w:val="24"/>
              </w:rPr>
              <w:t xml:space="preserve"> other sums due from the Buyer under the Call-Off Contract detailed in the information are properly payable;</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“Tax”</w:t>
            </w:r>
          </w:p>
        </w:tc>
        <w:tc>
          <w:tcPr>
            <w:tcW w:w="7560" w:type="dxa"/>
          </w:tcPr>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all forms of taxation whether direct or indirect;</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national insurance contributions in the United Kingdom and similar contributions or obligations in any other jurisdiction;</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all statutory, governmental, state, federal, provincial, local government or municipal charges, duties, imports, contributions. levie</w:t>
            </w:r>
            <w:r>
              <w:rPr>
                <w:rFonts w:ascii="Arial" w:eastAsia="Arial" w:hAnsi="Arial" w:cs="Arial"/>
                <w:sz w:val="24"/>
                <w:szCs w:val="24"/>
              </w:rPr>
              <w:t>s or liabilities (other than in return  for goods or services supplied or performed or to be performed) and withholdings; and</w:t>
            </w:r>
          </w:p>
          <w:p w:rsidR="00876E32" w:rsidRDefault="00D848F2">
            <w:pPr>
              <w:numPr>
                <w:ilvl w:val="0"/>
                <w:numId w:val="2"/>
              </w:numPr>
              <w:tabs>
                <w:tab w:val="left" w:pos="-179"/>
                <w:tab w:val="left" w:pos="-9"/>
              </w:tabs>
              <w:spacing w:after="120"/>
              <w:ind w:left="316"/>
              <w:jc w:val="both"/>
              <w:rPr>
                <w:rFonts w:ascii="Arial" w:eastAsia="Arial" w:hAnsi="Arial" w:cs="Arial"/>
                <w:sz w:val="24"/>
                <w:szCs w:val="24"/>
              </w:rPr>
            </w:pPr>
            <w:r>
              <w:rPr>
                <w:rFonts w:ascii="Arial" w:eastAsia="Arial" w:hAnsi="Arial" w:cs="Arial"/>
                <w:sz w:val="24"/>
                <w:szCs w:val="24"/>
              </w:rPr>
              <w:t>any penalty, fine, surcharge, interest, charges or costs relating to any of the above,</w:t>
            </w:r>
          </w:p>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in each case wherever chargeable and whethe</w:t>
            </w:r>
            <w:r>
              <w:rPr>
                <w:rFonts w:ascii="Arial" w:eastAsia="Arial" w:hAnsi="Arial" w:cs="Arial"/>
                <w:sz w:val="24"/>
                <w:szCs w:val="24"/>
              </w:rPr>
              <w:t>r of the United Kingdom and any other jurisdiction;</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 Issue</w:t>
            </w:r>
            <w:r>
              <w:rPr>
                <w:rFonts w:ascii="Arial" w:eastAsia="Arial" w:hAnsi="Arial" w:cs="Arial"/>
                <w:b/>
                <w:color w:val="000000"/>
                <w:sz w:val="24"/>
                <w:szCs w:val="24"/>
              </w:rPr>
              <w: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876E32" w:rsidRDefault="00D848F2">
            <w:pPr>
              <w:numPr>
                <w:ilvl w:val="1"/>
                <w:numId w:val="3"/>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876E32" w:rsidRDefault="00D848F2">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876E32">
        <w:tc>
          <w:tcPr>
            <w:tcW w:w="2160" w:type="dxa"/>
          </w:tcPr>
          <w:p w:rsidR="00876E32" w:rsidRDefault="00D848F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rsidR="00876E32" w:rsidRDefault="00D848F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876E32" w:rsidRDefault="00D848F2">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876E32" w:rsidRDefault="00D848F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876E32" w:rsidRDefault="00876E3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w:t>
            </w:r>
            <w:r>
              <w:rPr>
                <w:rFonts w:ascii="Arial" w:eastAsia="Arial" w:hAnsi="Arial" w:cs="Arial"/>
                <w:color w:val="000000"/>
                <w:sz w:val="24"/>
                <w:szCs w:val="24"/>
              </w:rPr>
              <w:t>iven to it in Clause 24 (Changing the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w:t>
            </w:r>
            <w:r>
              <w:rPr>
                <w:rFonts w:ascii="Arial" w:eastAsia="Arial" w:hAnsi="Arial" w:cs="Arial"/>
                <w:color w:val="000000"/>
                <w:sz w:val="24"/>
                <w:szCs w:val="24"/>
              </w:rPr>
              <w:t xml:space="preserve">x-arrangements-of-appointees) applies in respect of the Deliverables; and </w:t>
            </w:r>
          </w:p>
        </w:tc>
      </w:tr>
      <w:tr w:rsidR="00876E32">
        <w:tc>
          <w:tcPr>
            <w:tcW w:w="2160" w:type="dxa"/>
          </w:tcPr>
          <w:p w:rsidR="00876E32" w:rsidRDefault="00D848F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60" w:type="dxa"/>
          </w:tcPr>
          <w:p w:rsidR="00876E32" w:rsidRDefault="00D848F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w:t>
            </w:r>
            <w:r>
              <w:rPr>
                <w:rFonts w:ascii="Arial" w:eastAsia="Arial" w:hAnsi="Arial" w:cs="Arial"/>
                <w:sz w:val="24"/>
                <w:szCs w:val="24"/>
              </w:rPr>
              <w:t xml:space="preserve"> </w:t>
            </w:r>
            <w:r>
              <w:rPr>
                <w:rFonts w:ascii="Arial" w:eastAsia="Arial" w:hAnsi="Arial" w:cs="Arial"/>
                <w:color w:val="000000"/>
                <w:sz w:val="24"/>
                <w:szCs w:val="24"/>
              </w:rPr>
              <w:t xml:space="preserve">Order Form. </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"Work Day"</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 minimum of 7.5 Work Hours, whether or not such hours are worked consecutively and whether or not they are worked on the same day; and</w:t>
            </w:r>
          </w:p>
        </w:tc>
      </w:tr>
      <w:tr w:rsidR="00876E32">
        <w:tc>
          <w:tcPr>
            <w:tcW w:w="2160" w:type="dxa"/>
          </w:tcPr>
          <w:p w:rsidR="00876E32" w:rsidRDefault="00D848F2">
            <w:pPr>
              <w:spacing w:after="120"/>
              <w:ind w:left="-108"/>
              <w:rPr>
                <w:rFonts w:ascii="Arial" w:eastAsia="Arial" w:hAnsi="Arial" w:cs="Arial"/>
                <w:b/>
                <w:sz w:val="24"/>
                <w:szCs w:val="24"/>
              </w:rPr>
            </w:pPr>
            <w:r>
              <w:rPr>
                <w:rFonts w:ascii="Arial" w:eastAsia="Arial" w:hAnsi="Arial" w:cs="Arial"/>
                <w:b/>
                <w:sz w:val="24"/>
                <w:szCs w:val="24"/>
              </w:rPr>
              <w:t>"Work Hours"</w:t>
            </w:r>
          </w:p>
        </w:tc>
        <w:tc>
          <w:tcPr>
            <w:tcW w:w="7560" w:type="dxa"/>
          </w:tcPr>
          <w:p w:rsidR="00876E32" w:rsidRDefault="00D848F2">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hours spent by the Supplier Staff properly working on the provision of the Deliverables including time</w:t>
            </w:r>
            <w:r>
              <w:rPr>
                <w:rFonts w:ascii="Arial" w:eastAsia="Arial" w:hAnsi="Arial" w:cs="Arial"/>
                <w:sz w:val="24"/>
                <w:szCs w:val="24"/>
              </w:rPr>
              <w:t xml:space="preserve"> spent travelling (other than to and from the Supplier's offices, or to and from the Sites) but excluding lunch breaks.</w:t>
            </w:r>
          </w:p>
        </w:tc>
      </w:tr>
    </w:tbl>
    <w:p w:rsidR="00876E32" w:rsidRDefault="00876E32">
      <w:pPr>
        <w:spacing w:after="0" w:line="240" w:lineRule="auto"/>
        <w:rPr>
          <w:rFonts w:ascii="Arial" w:eastAsia="Arial" w:hAnsi="Arial" w:cs="Arial"/>
          <w:sz w:val="24"/>
          <w:szCs w:val="24"/>
        </w:rPr>
      </w:pPr>
    </w:p>
    <w:p w:rsidR="00876E32" w:rsidRDefault="00876E32">
      <w:pPr>
        <w:spacing w:after="0" w:line="240" w:lineRule="auto"/>
        <w:rPr>
          <w:rFonts w:ascii="Arial" w:eastAsia="Arial" w:hAnsi="Arial" w:cs="Arial"/>
          <w:sz w:val="24"/>
          <w:szCs w:val="24"/>
        </w:rPr>
      </w:pPr>
    </w:p>
    <w:sectPr w:rsidR="00876E32">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8F2" w:rsidRDefault="00D848F2">
      <w:pPr>
        <w:spacing w:after="0" w:line="240" w:lineRule="auto"/>
      </w:pPr>
      <w:r>
        <w:separator/>
      </w:r>
    </w:p>
  </w:endnote>
  <w:endnote w:type="continuationSeparator" w:id="0">
    <w:p w:rsidR="00D848F2" w:rsidRDefault="00D84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E32" w:rsidRDefault="00D848F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40E02">
      <w:rPr>
        <w:rFonts w:ascii="Arial" w:eastAsia="Arial" w:hAnsi="Arial" w:cs="Arial"/>
        <w:color w:val="000000"/>
        <w:sz w:val="20"/>
        <w:szCs w:val="20"/>
      </w:rPr>
      <w:fldChar w:fldCharType="separate"/>
    </w:r>
    <w:r w:rsidR="00A40E0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876E32" w:rsidRDefault="00D8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E32" w:rsidRDefault="00D848F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76E32" w:rsidRDefault="00D8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8F2" w:rsidRDefault="00D848F2">
      <w:pPr>
        <w:spacing w:after="0" w:line="240" w:lineRule="auto"/>
      </w:pPr>
      <w:r>
        <w:separator/>
      </w:r>
    </w:p>
  </w:footnote>
  <w:footnote w:type="continuationSeparator" w:id="0">
    <w:p w:rsidR="00D848F2" w:rsidRDefault="00D848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876E32" w:rsidRDefault="00D848F2">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BFBFBF"/>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E32" w:rsidRDefault="00D848F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876E32" w:rsidRDefault="00D848F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E1617"/>
    <w:multiLevelType w:val="multilevel"/>
    <w:tmpl w:val="2E0A95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FB5430"/>
    <w:multiLevelType w:val="multilevel"/>
    <w:tmpl w:val="1EA0316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4833438"/>
    <w:multiLevelType w:val="multilevel"/>
    <w:tmpl w:val="1CA8A1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575863"/>
    <w:multiLevelType w:val="multilevel"/>
    <w:tmpl w:val="1546712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79D04AA"/>
    <w:multiLevelType w:val="multilevel"/>
    <w:tmpl w:val="215AF4E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487616"/>
    <w:multiLevelType w:val="multilevel"/>
    <w:tmpl w:val="185270EC"/>
    <w:lvl w:ilvl="0">
      <w:start w:val="1"/>
      <w:numFmt w:val="lowerLetter"/>
      <w:pStyle w:val="ORDERFORML1PraraNo"/>
      <w:lvlText w:val="%1)"/>
      <w:lvlJc w:val="left"/>
      <w:pPr>
        <w:ind w:left="432" w:hanging="262"/>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F22CD9"/>
    <w:multiLevelType w:val="multilevel"/>
    <w:tmpl w:val="603080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E195498"/>
    <w:multiLevelType w:val="multilevel"/>
    <w:tmpl w:val="4490D838"/>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7"/>
  </w:num>
  <w:num w:numId="2">
    <w:abstractNumId w:val="4"/>
  </w:num>
  <w:num w:numId="3">
    <w:abstractNumId w:val="6"/>
  </w:num>
  <w:num w:numId="4">
    <w:abstractNumId w:val="3"/>
  </w:num>
  <w:num w:numId="5">
    <w:abstractNumId w:val="0"/>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32"/>
    <w:rsid w:val="00876E32"/>
    <w:rsid w:val="00A40E02"/>
    <w:rsid w:val="00D848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5D038-57CA-424A-9188-CC43FDC5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z7kaS4I1GfqWZ0AYB0dMyZ8MFA==">AMUW2mV+Z1a/tKmILINnSE0Y/ikbiX3f+oTgBaFTDEf2ZOAlybqGrMF4UCm4hbX83nxd6Te2NCZa5QY8fn+59NeB1kEuFcpm5okhesKa7ivkOYwOM70c0ATJsdsvujhMsH3oxn1nJ8jbm8OH1dxsutj387RPb7+Gp0PFypmfRETtcigCdwHdsLo=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9744</Words>
  <Characters>55546</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2020-11-06T14:03:00Z</dcterms:created>
  <dcterms:modified xsi:type="dcterms:W3CDTF">2020-11-06T14:03:00Z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